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 w:after="80"/>
      </w:pPr>
      <w:r>
        <w:rPr>
          <w:rFonts w:ascii="Calibri" w:hAnsi="Calibri"/>
          <w:b/>
          <w:color w:val="0F766E"/>
          <w:sz w:val="20"/>
        </w:rPr>
        <w:t>IMPLEMENTATION AND OPERATIONS GUIDE</w:t>
      </w:r>
    </w:p>
    <w:p>
      <w:pPr>
        <w:spacing w:before="0" w:after="160"/>
      </w:pPr>
      <w:r>
        <w:rPr>
          <w:rFonts w:ascii="Calibri" w:hAnsi="Calibri"/>
          <w:b/>
          <w:color w:val="0B2545"/>
          <w:sz w:val="62"/>
        </w:rPr>
        <w:t>Organic Signal</w:t>
      </w:r>
    </w:p>
    <w:p>
      <w:pPr>
        <w:spacing w:after="440"/>
      </w:pPr>
      <w:r>
        <w:rPr>
          <w:rFonts w:ascii="Calibri" w:hAnsi="Calibri"/>
          <w:color w:val="667085"/>
          <w:sz w:val="28"/>
        </w:rPr>
        <w:t>Step-by-step setup, client onboarding, OpenSEO integration, execution, and reporting</w:t>
      </w:r>
    </w:p>
    <w:p>
      <w:pPr>
        <w:spacing w:before="100" w:after="180" w:line="288" w:lineRule="auto"/>
        <w:ind w:left="202" w:right="115"/>
        <w:shd w:fill="ECFDF5"/>
        <w:pBdr>
          <w:left w:val="single" w:sz="18" w:space="8" w:color="0F766E"/>
        </w:pBdr>
      </w:pPr>
      <w:r>
        <w:rPr>
          <w:rFonts w:ascii="Calibri" w:hAnsi="Calibri"/>
          <w:b/>
          <w:color w:val="0F766E"/>
        </w:rPr>
        <w:t xml:space="preserve">Purpose: </w:t>
      </w:r>
      <w:r>
        <w:rPr>
          <w:rFonts w:ascii="Calibri" w:hAnsi="Calibri"/>
          <w:color w:val="1F2937"/>
        </w:rPr>
        <w:t>Turn the platform from a powerful collection of capabilities into a repeatable client growth operating system.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0D5DD"/>
          <w:left w:val="single" w:sz="5" w:space="0" w:color="D0D5DD"/>
          <w:bottom w:val="single" w:sz="5" w:space="0" w:color="D0D5DD"/>
          <w:right w:val="single" w:sz="5" w:space="0" w:color="D0D5DD"/>
          <w:insideH w:val="single" w:sz="5" w:space="0" w:color="D0D5DD"/>
          <w:insideV w:val="single" w:sz="5" w:space="0" w:color="D0D5DD"/>
        </w:tblBorders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Audience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Platform owner, agency administrator, SEO lead, account manager, and operations team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Operating model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One organization per client; one workspace per site, brand, location, or market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Evidence model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OpenSEO and first-party integrations measure; Organic Signal prioritizes, executes, and reports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Version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July 2026</w:t>
            </w:r>
          </w:p>
        </w:tc>
      </w:tr>
    </w:tbl>
    <w:p>
      <w:pPr>
        <w:spacing w:after="0"/>
      </w:pPr>
    </w:p>
    <w:p>
      <w:pPr>
        <w:spacing w:before="400"/>
        <w:jc w:val="center"/>
      </w:pPr>
      <w:r>
        <w:rPr>
          <w:rFonts w:ascii="Calibri" w:hAnsi="Calibri"/>
          <w:i/>
          <w:color w:val="2E74B5"/>
          <w:sz w:val="22"/>
        </w:rPr>
        <w:t>Create the boundary. Capture the brief. Connect evidence. Approve action. Measure value.</w:t>
      </w:r>
    </w:p>
    <w:p>
      <w:r>
        <w:br w:type="page"/>
      </w:r>
    </w:p>
    <w:p>
      <w:pPr>
        <w:pStyle w:val="Heading1"/>
        <w:keepNext/>
      </w:pPr>
      <w:r>
        <w:t>How to use this guide</w:t>
      </w:r>
    </w:p>
    <w:p>
      <w:pPr/>
      <w:r>
        <w:rPr>
          <w:rFonts w:ascii="Calibri" w:hAnsi="Calibri"/>
          <w:color w:val="1F2937"/>
        </w:rPr>
        <w:t>Complete Part 1 once for the production platform. Repeat Part 2 for every client. Use the playbook in Part 3 to adapt the setup to the client’s market, then run the weekly operating rhythm in Part 4.</w:t>
      </w:r>
    </w:p>
    <w:p>
      <w:pPr>
        <w:spacing w:before="100" w:after="180" w:line="288" w:lineRule="auto"/>
        <w:ind w:left="202" w:right="115"/>
        <w:shd w:fill="FFFAEB"/>
        <w:pBdr>
          <w:left w:val="single" w:sz="18" w:space="8" w:color="7A5A00"/>
        </w:pBdr>
      </w:pPr>
      <w:r>
        <w:rPr>
          <w:rFonts w:ascii="Calibri" w:hAnsi="Calibri"/>
          <w:b/>
          <w:color w:val="7A5A00"/>
        </w:rPr>
        <w:t xml:space="preserve">Core rule: </w:t>
      </w:r>
      <w:r>
        <w:rPr>
          <w:rFonts w:ascii="Calibri" w:hAnsi="Calibri"/>
          <w:color w:val="1F2937"/>
        </w:rPr>
        <w:t>AI may interpret evidence and generate work, but it must never invent measurements or silently publish client-facing output.</w:t>
      </w:r>
    </w:p>
    <w:p>
      <w:pPr>
        <w:pStyle w:val="Heading2"/>
        <w:keepNext/>
      </w:pPr>
      <w:r>
        <w:t>Contents</w:t>
      </w:r>
    </w:p>
    <w:p>
      <w:pPr>
        <w:numPr>
          <w:ilvl w:val="0"/>
          <w:numId w:val="11"/>
        </w:numPr>
      </w:pPr>
      <w:r>
        <w:rPr>
          <w:rFonts w:ascii="Calibri" w:hAnsi="Calibri"/>
          <w:color w:val="1F2937"/>
        </w:rPr>
        <w:t>Part 1 - Production environment and deployment</w:t>
      </w:r>
    </w:p>
    <w:p>
      <w:pPr>
        <w:numPr>
          <w:ilvl w:val="0"/>
          <w:numId w:val="11"/>
        </w:numPr>
      </w:pPr>
      <w:r>
        <w:rPr>
          <w:rFonts w:ascii="Calibri" w:hAnsi="Calibri"/>
          <w:color w:val="1F2937"/>
        </w:rPr>
        <w:t>Part 2 - The 10-step client implementation workflow</w:t>
      </w:r>
    </w:p>
    <w:p>
      <w:pPr>
        <w:numPr>
          <w:ilvl w:val="0"/>
          <w:numId w:val="11"/>
        </w:numPr>
      </w:pPr>
      <w:r>
        <w:rPr>
          <w:rFonts w:ascii="Calibri" w:hAnsi="Calibri"/>
          <w:color w:val="1F2937"/>
        </w:rPr>
        <w:t>Part 3 - Ecommerce, property, restaurant, and agency playbooks</w:t>
      </w:r>
    </w:p>
    <w:p>
      <w:pPr>
        <w:numPr>
          <w:ilvl w:val="0"/>
          <w:numId w:val="11"/>
        </w:numPr>
      </w:pPr>
      <w:r>
        <w:rPr>
          <w:rFonts w:ascii="Calibri" w:hAnsi="Calibri"/>
          <w:color w:val="1F2937"/>
        </w:rPr>
        <w:t>Part 4 - Navigation, weekly cadence, and reporting</w:t>
      </w:r>
    </w:p>
    <w:p>
      <w:pPr>
        <w:numPr>
          <w:ilvl w:val="0"/>
          <w:numId w:val="11"/>
        </w:numPr>
      </w:pPr>
      <w:r>
        <w:rPr>
          <w:rFonts w:ascii="Calibri" w:hAnsi="Calibri"/>
          <w:color w:val="1F2937"/>
        </w:rPr>
        <w:t>Part 5 - Troubleshooting and go-live checklists</w:t>
      </w:r>
    </w:p>
    <w:p>
      <w:pPr>
        <w:numPr>
          <w:ilvl w:val="0"/>
          <w:numId w:val="11"/>
        </w:numPr>
      </w:pPr>
      <w:r>
        <w:rPr>
          <w:rFonts w:ascii="Calibri" w:hAnsi="Calibri"/>
          <w:color w:val="1F2937"/>
        </w:rPr>
        <w:t>Appendix - Environment variable quick reference</w:t>
      </w:r>
    </w:p>
    <w:p>
      <w:pPr>
        <w:pStyle w:val="Heading2"/>
        <w:keepNext/>
      </w:pPr>
      <w:r>
        <w:t>The platform operating model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0D5DD"/>
          <w:left w:val="single" w:sz="5" w:space="0" w:color="D0D5DD"/>
          <w:bottom w:val="single" w:sz="5" w:space="0" w:color="D0D5DD"/>
          <w:right w:val="single" w:sz="5" w:space="0" w:color="D0D5DD"/>
          <w:insideH w:val="single" w:sz="5" w:space="0" w:color="D0D5DD"/>
          <w:insideV w:val="single" w:sz="5" w:space="0" w:color="D0D5DD"/>
        </w:tblBorders>
      </w:tblPr>
      <w:tblGrid>
        <w:gridCol w:w="1900"/>
        <w:gridCol w:w="3730"/>
        <w:gridCol w:w="3730"/>
      </w:tblGrid>
      <w:tr>
        <w:trPr>
          <w:tblHeader w:val="true"/>
          <w:cantSplit/>
        </w:trPr>
        <w:tc>
          <w:tcPr>
            <w:tcW w:type="dxa" w:w="19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8"/>
              </w:rPr>
              <w:t>Layer</w:t>
            </w:r>
          </w:p>
        </w:tc>
        <w:tc>
          <w:tcPr>
            <w:tcW w:type="dxa" w:w="373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8"/>
              </w:rPr>
              <w:t>Responsibility</w:t>
            </w:r>
          </w:p>
        </w:tc>
        <w:tc>
          <w:tcPr>
            <w:tcW w:type="dxa" w:w="373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8"/>
              </w:rPr>
              <w:t>What the client receives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OpenSEO data plane</w:t>
            </w:r>
          </w:p>
        </w:tc>
        <w:tc>
          <w:tcPr>
            <w:tcW w:type="dxa" w:w="37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SERPs, rank tracking, domain research, backlinks, GSC, URL inspection, and site audits.</w:t>
            </w:r>
          </w:p>
        </w:tc>
        <w:tc>
          <w:tcPr>
            <w:tcW w:type="dxa" w:w="37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Verifiable external and first-party evidence.</w:t>
            </w:r>
          </w:p>
        </w:tc>
      </w:tr>
      <w:tr>
        <w:trPr>
          <w:cantSplit/>
        </w:trPr>
        <w:tc>
          <w:tcPr>
            <w:tcW w:type="dxa" w:w="19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Organic Signal intelligence plane</w:t>
            </w:r>
          </w:p>
        </w:tc>
        <w:tc>
          <w:tcPr>
            <w:tcW w:type="dxa" w:w="373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Evidence normalization, findings, priorities, AI interpretation, and Growth Actions.</w:t>
            </w:r>
          </w:p>
        </w:tc>
        <w:tc>
          <w:tcPr>
            <w:tcW w:type="dxa" w:w="373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A clear answer to what matters next and why.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Organic Signal execution plane</w:t>
            </w:r>
          </w:p>
        </w:tc>
        <w:tc>
          <w:tcPr>
            <w:tcW w:type="dxa" w:w="37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Sequences, content, outreach, approvals, publishing, job control, and reporting.</w:t>
            </w:r>
          </w:p>
        </w:tc>
        <w:tc>
          <w:tcPr>
            <w:tcW w:type="dxa" w:w="37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Completed work with traceable decisions and outcomes.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Part 1 - Production environment and deployment</w:t>
      </w:r>
    </w:p>
    <w:p>
      <w:pPr/>
      <w:r>
        <w:rPr>
          <w:rFonts w:ascii="Calibri" w:hAnsi="Calibri"/>
          <w:color w:val="1F2937"/>
        </w:rPr>
        <w:t>Organic Signal is not one process. A production deployment normally contains a Next.js frontend, a FastAPI backend, PostgreSQL, Redis, a background worker, and a private OpenSEO service. Configure each service with only the variables it uses.</w:t>
      </w:r>
    </w:p>
    <w:p>
      <w:pPr>
        <w:spacing w:before="100" w:after="180" w:line="288" w:lineRule="auto"/>
        <w:ind w:left="202" w:right="115"/>
        <w:shd w:fill="F4F6F9"/>
        <w:pBdr>
          <w:left w:val="single" w:sz="18" w:space="8" w:color="2E74B5"/>
        </w:pBdr>
      </w:pPr>
      <w:r>
        <w:rPr>
          <w:rFonts w:ascii="Calibri" w:hAnsi="Calibri"/>
          <w:b/>
          <w:color w:val="2E74B5"/>
        </w:rPr>
        <w:t xml:space="preserve">Reference file: </w:t>
      </w:r>
      <w:r>
        <w:rPr>
          <w:rFonts w:ascii="Calibri" w:hAnsi="Calibri"/>
          <w:color w:val="1F2937"/>
        </w:rPr>
        <w:t>ENV.example in the repository is the authoritative copy-and-paste checklist. It separates Vercel, Railway backend, worker, and OpenSEO variables and contains no real credentials.</w:t>
      </w:r>
    </w:p>
    <w:p>
      <w:pPr>
        <w:pStyle w:val="Heading2"/>
        <w:keepNext/>
      </w:pPr>
      <w:r>
        <w:t>1.1 Service map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0D5DD"/>
          <w:left w:val="single" w:sz="5" w:space="0" w:color="D0D5DD"/>
          <w:bottom w:val="single" w:sz="5" w:space="0" w:color="D0D5DD"/>
          <w:right w:val="single" w:sz="5" w:space="0" w:color="D0D5DD"/>
          <w:insideH w:val="single" w:sz="5" w:space="0" w:color="D0D5DD"/>
          <w:insideV w:val="single" w:sz="5" w:space="0" w:color="D0D5DD"/>
        </w:tblBorders>
      </w:tblPr>
      <w:tblGrid>
        <w:gridCol w:w="1800"/>
        <w:gridCol w:w="1800"/>
        <w:gridCol w:w="5760"/>
      </w:tblGrid>
      <w:tr>
        <w:trPr>
          <w:tblHeader w:val="true"/>
          <w:cantSplit/>
        </w:trPr>
        <w:tc>
          <w:tcPr>
            <w:tcW w:type="dxa" w:w="18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8"/>
              </w:rPr>
              <w:t>Service</w:t>
            </w:r>
          </w:p>
        </w:tc>
        <w:tc>
          <w:tcPr>
            <w:tcW w:type="dxa" w:w="18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8"/>
              </w:rPr>
              <w:t>Hosting</w:t>
            </w:r>
          </w:p>
        </w:tc>
        <w:tc>
          <w:tcPr>
            <w:tcW w:type="dxa" w:w="576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8"/>
              </w:rPr>
              <w:t>Required outcome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Frontend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Vercel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Users can authenticate and the API proxy reaches Railway.</w:t>
            </w:r>
          </w:p>
        </w:tc>
      </w:tr>
      <w:tr>
        <w:trPr>
          <w:cantSplit/>
        </w:trPr>
        <w:tc>
          <w:tcPr>
            <w:tcW w:type="dxa" w:w="18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Backend API</w:t>
            </w:r>
          </w:p>
        </w:tc>
        <w:tc>
          <w:tcPr>
            <w:tcW w:type="dxa" w:w="18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Railway</w:t>
            </w:r>
          </w:p>
        </w:tc>
        <w:tc>
          <w:tcPr>
            <w:tcW w:type="dxa" w:w="576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Core APIs, tenant access, AI orchestration, integrations, and cron endpoints run.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PostgreSQL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Railway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Durable organizations, workspaces, evidence, jobs, users, and reports.</w:t>
            </w:r>
          </w:p>
        </w:tc>
      </w:tr>
      <w:tr>
        <w:trPr>
          <w:cantSplit/>
        </w:trPr>
        <w:tc>
          <w:tcPr>
            <w:tcW w:type="dxa" w:w="18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Redis</w:t>
            </w:r>
          </w:p>
        </w:tc>
        <w:tc>
          <w:tcPr>
            <w:tcW w:type="dxa" w:w="18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Railway</w:t>
            </w:r>
          </w:p>
        </w:tc>
        <w:tc>
          <w:tcPr>
            <w:tcW w:type="dxa" w:w="576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Distributed jobs, shared rate limits, caching, and paid-call coalescing.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Worker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Railway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Long-running agents execute outside web request timeouts.</w:t>
            </w:r>
          </w:p>
        </w:tc>
      </w:tr>
      <w:tr>
        <w:trPr>
          <w:cantSplit/>
        </w:trPr>
        <w:tc>
          <w:tcPr>
            <w:tcW w:type="dxa" w:w="18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OpenSEO</w:t>
            </w:r>
          </w:p>
        </w:tc>
        <w:tc>
          <w:tcPr>
            <w:tcW w:type="dxa" w:w="18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Private Railway service or Docker</w:t>
            </w:r>
          </w:p>
        </w:tc>
        <w:tc>
          <w:tcPr>
            <w:tcW w:type="dxa" w:w="576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8"/>
              </w:rPr>
              <w:t>Verified search, backlink, GSC, and audit evidence is available to each mapped workspace.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1.2 Vercel frontend variables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0D5DD"/>
          <w:left w:val="single" w:sz="5" w:space="0" w:color="D0D5DD"/>
          <w:bottom w:val="single" w:sz="5" w:space="0" w:color="D0D5DD"/>
          <w:right w:val="single" w:sz="5" w:space="0" w:color="D0D5DD"/>
          <w:insideH w:val="single" w:sz="5" w:space="0" w:color="D0D5DD"/>
          <w:insideV w:val="single" w:sz="5" w:space="0" w:color="D0D5DD"/>
        </w:tblBorders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Required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NEXT_PUBLIC_CLERK_PUBLISHABLE_KEY, CLERK_SECRET_KEY, NEXT_PUBLIC_APP_URL, API_URL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Recommended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NEXT_PUBLIC_SITE_URL and OUTBOX_GATEWAY_SECRET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Rule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API_URL points to the public Railway backend URL. OUTBOX_GATEWAY_SECRET must match the backend value.</w:t>
            </w:r>
          </w:p>
        </w:tc>
      </w:tr>
    </w:tbl>
    <w:p>
      <w:pPr>
        <w:spacing w:after="0"/>
      </w:pPr>
    </w:p>
    <w:p>
      <w:pPr>
        <w:numPr>
          <w:ilvl w:val="0"/>
          <w:numId w:val="12"/>
        </w:numPr>
      </w:pPr>
      <w:r>
        <w:rPr>
          <w:rFonts w:ascii="Calibri" w:hAnsi="Calibri"/>
          <w:color w:val="1F2937"/>
        </w:rPr>
        <w:t>Open Vercel, select the frontend project, then open Settings &gt; Environment Variables.</w:t>
      </w:r>
    </w:p>
    <w:p>
      <w:pPr>
        <w:numPr>
          <w:ilvl w:val="0"/>
          <w:numId w:val="12"/>
        </w:numPr>
      </w:pPr>
      <w:r>
        <w:rPr>
          <w:rFonts w:ascii="Calibri" w:hAnsi="Calibri"/>
          <w:color w:val="1F2937"/>
        </w:rPr>
        <w:t>Add the required frontend values for Production, Preview, and Development as appropriate.</w:t>
      </w:r>
    </w:p>
    <w:p>
      <w:pPr>
        <w:numPr>
          <w:ilvl w:val="0"/>
          <w:numId w:val="12"/>
        </w:numPr>
      </w:pPr>
      <w:r>
        <w:rPr>
          <w:rFonts w:ascii="Calibri" w:hAnsi="Calibri"/>
          <w:color w:val="1F2937"/>
        </w:rPr>
        <w:t>Redeploy after changing build-time NEXT_PUBLIC values.</w:t>
      </w:r>
    </w:p>
    <w:p>
      <w:pPr>
        <w:numPr>
          <w:ilvl w:val="0"/>
          <w:numId w:val="12"/>
        </w:numPr>
      </w:pPr>
      <w:r>
        <w:rPr>
          <w:rFonts w:ascii="Calibri" w:hAnsi="Calibri"/>
          <w:color w:val="1F2937"/>
        </w:rPr>
        <w:t>Open /api/proxy-status in the deployed frontend to confirm the proxy can see the backend URL.</w:t>
      </w:r>
    </w:p>
    <w:p>
      <w:pPr>
        <w:pStyle w:val="Heading2"/>
        <w:keepNext/>
      </w:pPr>
      <w:r>
        <w:t>1.3 Railway backend variables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0D5DD"/>
          <w:left w:val="single" w:sz="5" w:space="0" w:color="D0D5DD"/>
          <w:bottom w:val="single" w:sz="5" w:space="0" w:color="D0D5DD"/>
          <w:right w:val="single" w:sz="5" w:space="0" w:color="D0D5DD"/>
          <w:insideH w:val="single" w:sz="5" w:space="0" w:color="D0D5DD"/>
          <w:insideV w:val="single" w:sz="5" w:space="0" w:color="D0D5DD"/>
        </w:tblBorders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Required core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ENVIRONMENT, DATABASE_URL, CRON_SECRET, CLERK_JWT_ISSUER, CLERK_SECRET_KEY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Required URLs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FRONTEND_URL and ALLOWED_ORIGINS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Required security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INTEGRATION_ENCRYPTION_KEY and LEGACY_SESSION_SECRET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Recommended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REDIS_URL, OUTBOX_GATEWAY_SECRET, SUPER_ADMIN_EMAILS, email variables, and SENTRY_DSN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AI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Set AI_PRIMARY_PROVIDER and at least one supported provider API key.</w:t>
            </w:r>
          </w:p>
        </w:tc>
      </w:tr>
    </w:tbl>
    <w:p>
      <w:pPr>
        <w:spacing w:after="0"/>
      </w:pPr>
    </w:p>
    <w:p>
      <w:pPr>
        <w:spacing w:before="100" w:after="180" w:line="288" w:lineRule="auto"/>
        <w:ind w:left="202" w:right="115"/>
        <w:shd w:fill="FFFAEB"/>
        <w:pBdr>
          <w:left w:val="single" w:sz="18" w:space="8" w:color="7A5A00"/>
        </w:pBdr>
      </w:pPr>
      <w:r>
        <w:rPr>
          <w:rFonts w:ascii="Calibri" w:hAnsi="Calibri"/>
          <w:b/>
          <w:color w:val="7A5A00"/>
        </w:rPr>
        <w:t xml:space="preserve">Encryption warning: </w:t>
      </w:r>
      <w:r>
        <w:rPr>
          <w:rFonts w:ascii="Calibri" w:hAnsi="Calibri"/>
          <w:color w:val="1F2937"/>
        </w:rPr>
        <w:t>INTEGRATION_ENCRYPTION_KEY protects stored workspace credentials. Generate at least 32 random characters and do not rotate it until a coordinated re-encryption process exists.</w:t>
      </w:r>
    </w:p>
    <w:p>
      <w:pPr>
        <w:pStyle w:val="Heading2"/>
        <w:keepNext/>
      </w:pPr>
      <w:r>
        <w:t>1.4 Redis and the background worker</w:t>
      </w:r>
    </w:p>
    <w:p>
      <w:pPr>
        <w:numPr>
          <w:ilvl w:val="0"/>
          <w:numId w:val="13"/>
        </w:numPr>
      </w:pPr>
      <w:r>
        <w:rPr>
          <w:rFonts w:ascii="Calibri" w:hAnsi="Calibri"/>
          <w:color w:val="1F2937"/>
        </w:rPr>
        <w:t>Add Redis to the Railway project.</w:t>
      </w:r>
    </w:p>
    <w:p>
      <w:pPr>
        <w:numPr>
          <w:ilvl w:val="0"/>
          <w:numId w:val="13"/>
        </w:numPr>
      </w:pPr>
      <w:r>
        <w:rPr>
          <w:rFonts w:ascii="Calibri" w:hAnsi="Calibri"/>
          <w:color w:val="1F2937"/>
        </w:rPr>
        <w:t>Reference REDIS_URL in both the backend API and worker services.</w:t>
      </w:r>
    </w:p>
    <w:p>
      <w:pPr>
        <w:numPr>
          <w:ilvl w:val="0"/>
          <w:numId w:val="13"/>
        </w:numPr>
      </w:pPr>
      <w:r>
        <w:rPr>
          <w:rFonts w:ascii="Calibri" w:hAnsi="Calibri"/>
          <w:color w:val="1F2937"/>
        </w:rPr>
        <w:t>Create a second Railway service from the same repository.</w:t>
      </w:r>
    </w:p>
    <w:p>
      <w:pPr>
        <w:numPr>
          <w:ilvl w:val="0"/>
          <w:numId w:val="13"/>
        </w:numPr>
      </w:pPr>
      <w:r>
        <w:rPr>
          <w:rFonts w:ascii="Calibri" w:hAnsi="Calibri"/>
          <w:color w:val="1F2937"/>
        </w:rPr>
        <w:t>Set the worker start command to: cd backend &amp;&amp; /opt/venv/bin/arq worker.WorkerSettings</w:t>
      </w:r>
    </w:p>
    <w:p>
      <w:pPr>
        <w:numPr>
          <w:ilvl w:val="0"/>
          <w:numId w:val="13"/>
        </w:numPr>
      </w:pPr>
      <w:r>
        <w:rPr>
          <w:rFonts w:ascii="Calibri" w:hAnsi="Calibri"/>
          <w:color w:val="1F2937"/>
        </w:rPr>
        <w:t>Copy the backend’s database, Redis, AI, email, integration encryption, OpenSEO, frontend URL, and environment values to the worker.</w:t>
      </w:r>
    </w:p>
    <w:p>
      <w:pPr>
        <w:numPr>
          <w:ilvl w:val="0"/>
          <w:numId w:val="13"/>
        </w:numPr>
      </w:pPr>
      <w:r>
        <w:rPr>
          <w:rFonts w:ascii="Calibri" w:hAnsi="Calibri"/>
          <w:color w:val="1F2937"/>
        </w:rPr>
        <w:t>Confirm worker logs show jobs starting and completing.</w:t>
      </w:r>
    </w:p>
    <w:p>
      <w:r>
        <w:br w:type="page"/>
      </w:r>
    </w:p>
    <w:p>
      <w:pPr>
        <w:pStyle w:val="Heading2"/>
        <w:keepNext/>
      </w:pPr>
      <w:r>
        <w:t>1.5 Private OpenSEO service</w:t>
      </w:r>
    </w:p>
    <w:p>
      <w:pPr/>
      <w:r>
        <w:rPr>
          <w:rFonts w:ascii="Calibri" w:hAnsi="Calibri"/>
          <w:color w:val="1F2937"/>
        </w:rPr>
        <w:t>OpenSEO is a separately deployed intelligence service. One installation can serve all clients, but the dashboard must contain a distinct project for every client domain and search market.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0D5DD"/>
          <w:left w:val="single" w:sz="5" w:space="0" w:color="D0D5DD"/>
          <w:bottom w:val="single" w:sz="5" w:space="0" w:color="D0D5DD"/>
          <w:right w:val="single" w:sz="5" w:space="0" w:color="D0D5DD"/>
          <w:insideH w:val="single" w:sz="5" w:space="0" w:color="D0D5DD"/>
          <w:insideV w:val="single" w:sz="5" w:space="0" w:color="D0D5DD"/>
        </w:tblBorders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Required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AUTH_MODE=local_noauth and DATAFORSEO_API_KEY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GSC support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BETTER_AUTH_SECRET, GOOGLE_CLIENT_ID, and GOOGLE_CLIENT_SECRET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Recommended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OPENSEO_TELEMETRY_DISABLED=1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Network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No public route in local_noauth mode. Use private Railway networking or a protected private Docker network.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Growth Engine URL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OPENSEO_MCP_URL must point to the service’s /mcp endpoint.</w:t>
            </w:r>
          </w:p>
        </w:tc>
      </w:tr>
    </w:tbl>
    <w:p>
      <w:pPr>
        <w:spacing w:after="0"/>
      </w:pPr>
    </w:p>
    <w:p>
      <w:pPr>
        <w:spacing w:before="100" w:after="180" w:line="288" w:lineRule="auto"/>
        <w:ind w:left="202" w:right="115"/>
        <w:shd w:fill="FFFAEB"/>
        <w:pBdr>
          <w:left w:val="single" w:sz="18" w:space="8" w:color="7A5A00"/>
        </w:pBdr>
      </w:pPr>
      <w:r>
        <w:rPr>
          <w:rFonts w:ascii="Calibri" w:hAnsi="Calibri"/>
          <w:b/>
          <w:color w:val="7A5A00"/>
        </w:rPr>
        <w:t xml:space="preserve">DataForSEO credential: </w:t>
      </w:r>
      <w:r>
        <w:rPr>
          <w:rFonts w:ascii="Calibri" w:hAnsi="Calibri"/>
          <w:color w:val="1F2937"/>
        </w:rPr>
        <w:t>DATAFORSEO_API_KEY is the Base64 encoding of the DataForSEO login email, a colon, and the API password. It belongs on OpenSEO, not on the frontend.</w:t>
      </w:r>
    </w:p>
    <w:p>
      <w:pPr>
        <w:pStyle w:val="Heading2"/>
        <w:keepNext/>
      </w:pPr>
      <w:r>
        <w:t>1.6 Deployment verification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Vercel sign-in works and the dashboard loads without API errors.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Railway backend logs show PostgreSQL, at least one AI provider, and no missing required variable error.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App Health shows the API, database, queue, and AI capabilities as healthy or intentionally disabled.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Redis and the worker are online; a test job moves from queued to running to completed.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The OpenSEO dashboard loads privately and can perform a DataForSEO-backed lookup.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The Growth Engine backend can reach the OpenSEO /mcp endpoint over the private network.</w:t>
      </w:r>
    </w:p>
    <w:p>
      <w:r>
        <w:br w:type="page"/>
      </w:r>
    </w:p>
    <w:p>
      <w:pPr>
        <w:pStyle w:val="Heading1"/>
        <w:keepNext/>
      </w:pPr>
      <w:r>
        <w:t>Part 2 - The 10-step client implementation workflow</w:t>
      </w:r>
    </w:p>
    <w:p>
      <w:pPr/>
      <w:r>
        <w:rPr>
          <w:rFonts w:ascii="Calibri" w:hAnsi="Calibri"/>
          <w:color w:val="1F2937"/>
        </w:rPr>
        <w:t>Repeat this workflow for every client. The order matters: access and evidence come before autonomous execution.</w:t>
      </w:r>
    </w:p>
    <w:p>
      <w:pPr>
        <w:pStyle w:val="Heading2"/>
        <w:keepNext/>
      </w:pPr>
      <w:r>
        <w:t>Step 1 - Sign in and confirm health</w:t>
      </w:r>
    </w:p>
    <w:p>
      <w:pPr>
        <w:pStyle w:val="StepOutcome"/>
      </w:pPr>
      <w:r>
        <w:rPr>
          <w:rFonts w:ascii="Calibri" w:hAnsi="Calibri"/>
          <w:b/>
          <w:color w:val="0F766E"/>
        </w:rPr>
        <w:t>Outcome: The team begins client setup on a healthy platform.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Sign in using the administrator account.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Open App Health and resolve red or degraded capabilities.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Confirm PostgreSQL, Redis, the worker, the selected AI provider, and email delivery are available.</w:t>
      </w:r>
    </w:p>
    <w:p>
      <w:pPr>
        <w:spacing w:before="100" w:after="180" w:line="288" w:lineRule="auto"/>
        <w:ind w:left="202" w:right="115"/>
        <w:shd w:fill="FFFAEB"/>
        <w:pBdr>
          <w:left w:val="single" w:sz="18" w:space="8" w:color="7A5A00"/>
        </w:pBdr>
      </w:pPr>
      <w:r>
        <w:rPr>
          <w:rFonts w:ascii="Calibri" w:hAnsi="Calibri"/>
          <w:b/>
          <w:color w:val="7A5A00"/>
        </w:rPr>
        <w:t xml:space="preserve">Important: </w:t>
      </w:r>
      <w:r>
        <w:rPr>
          <w:rFonts w:ascii="Calibri" w:hAnsi="Calibri"/>
          <w:color w:val="1F2937"/>
        </w:rPr>
        <w:t>Do not onboard a paying client while measurement, tenant access, or encryption is degraded.</w:t>
      </w:r>
    </w:p>
    <w:p>
      <w:pPr>
        <w:pStyle w:val="Heading2"/>
        <w:keepNext/>
      </w:pPr>
      <w:r>
        <w:t>Step 2 - Create one organization for the client</w:t>
      </w:r>
    </w:p>
    <w:p>
      <w:pPr>
        <w:pStyle w:val="StepOutcome"/>
      </w:pPr>
      <w:r>
        <w:rPr>
          <w:rFonts w:ascii="Calibri" w:hAnsi="Calibri"/>
          <w:b/>
          <w:color w:val="0F766E"/>
        </w:rPr>
        <w:t>Outcome: The client receives a secure tenant boundary.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Open Organizations and select New organization.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Enter the client company name and a short description.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Set the seat limit for client administrators and staff.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Use New demo client only for a time-limited trial.</w:t>
      </w:r>
    </w:p>
    <w:p>
      <w:pPr>
        <w:spacing w:before="100" w:after="180" w:line="288" w:lineRule="auto"/>
        <w:ind w:left="202" w:right="115"/>
        <w:shd w:fill="FFFAEB"/>
        <w:pBdr>
          <w:left w:val="single" w:sz="18" w:space="8" w:color="7A5A00"/>
        </w:pBdr>
      </w:pPr>
      <w:r>
        <w:rPr>
          <w:rFonts w:ascii="Calibri" w:hAnsi="Calibri"/>
          <w:b/>
          <w:color w:val="7A5A00"/>
        </w:rPr>
        <w:t xml:space="preserve">Important: </w:t>
      </w:r>
      <w:r>
        <w:rPr>
          <w:rFonts w:ascii="Calibri" w:hAnsi="Calibri"/>
          <w:color w:val="1F2937"/>
        </w:rPr>
        <w:t>Never place unrelated clients in one organization.</w:t>
      </w:r>
    </w:p>
    <w:p>
      <w:pPr>
        <w:pStyle w:val="Heading2"/>
        <w:keepNext/>
      </w:pPr>
      <w:r>
        <w:t>Step 3 - Create the client workspace</w:t>
      </w:r>
    </w:p>
    <w:p>
      <w:pPr>
        <w:pStyle w:val="StepOutcome"/>
      </w:pPr>
      <w:r>
        <w:rPr>
          <w:rFonts w:ascii="Calibri" w:hAnsi="Calibri"/>
          <w:b/>
          <w:color w:val="0F766E"/>
        </w:rPr>
        <w:t>Outcome: One site, brand, location, or search market has an operating space.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Open the organization and remain on the Workspaces tab.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Select Create workspace.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Name it for the real scope, such as Main Store - US, London Property Portal, or Dallas Restaurant.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Create separate workspaces for different domains, countries, languages, brands, or independently managed locations.</w:t>
      </w:r>
    </w:p>
    <w:p>
      <w:r>
        <w:br w:type="page"/>
      </w:r>
    </w:p>
    <w:p>
      <w:pPr>
        <w:pStyle w:val="Heading2"/>
        <w:keepNext/>
      </w:pPr>
      <w:r>
        <w:t>Step 4 - Run AI-guided discovery</w:t>
      </w:r>
    </w:p>
    <w:p>
      <w:pPr>
        <w:pStyle w:val="StepOutcome"/>
      </w:pPr>
      <w:r>
        <w:rPr>
          <w:rFonts w:ascii="Calibri" w:hAnsi="Calibri"/>
          <w:b/>
          <w:color w:val="0F766E"/>
        </w:rPr>
        <w:t>Outcome: Organic Signal understands the business before recommending work.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Open AI Assistant and select the workspace.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Describe the client’s products or services, audience, locations, high-value offers, margins, seasonality, competitors, brand constraints, and conversion goals.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Generate the plan after discovery is complete.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Refine factual errors or weak assumptions, then approve the plan to create the campaign.</w:t>
      </w:r>
    </w:p>
    <w:p>
      <w:pPr>
        <w:spacing w:before="100" w:after="180" w:line="288" w:lineRule="auto"/>
        <w:ind w:left="202" w:right="115"/>
        <w:shd w:fill="FFFAEB"/>
        <w:pBdr>
          <w:left w:val="single" w:sz="18" w:space="8" w:color="7A5A00"/>
        </w:pBdr>
      </w:pPr>
      <w:r>
        <w:rPr>
          <w:rFonts w:ascii="Calibri" w:hAnsi="Calibri"/>
          <w:b/>
          <w:color w:val="7A5A00"/>
        </w:rPr>
        <w:t xml:space="preserve">Important: </w:t>
      </w:r>
      <w:r>
        <w:rPr>
          <w:rFonts w:ascii="Calibri" w:hAnsi="Calibri"/>
          <w:color w:val="1F2937"/>
        </w:rPr>
        <w:t>Specific commercial context produces better decisions than a generic request to improve SEO.</w:t>
      </w:r>
    </w:p>
    <w:p>
      <w:pPr>
        <w:pStyle w:val="Heading2"/>
        <w:keepNext/>
      </w:pPr>
      <w:r>
        <w:t>Step 5 - Create the OpenSEO project</w:t>
      </w:r>
    </w:p>
    <w:p>
      <w:pPr>
        <w:pStyle w:val="StepOutcome"/>
      </w:pPr>
      <w:r>
        <w:rPr>
          <w:rFonts w:ascii="Calibri" w:hAnsi="Calibri"/>
          <w:b/>
          <w:color w:val="0F766E"/>
        </w:rPr>
        <w:t>Outcome: The client workspace has a dedicated source of verified search evidence.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Open the private OpenSEO dashboard.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Create a project for the exact client domain, location, and language.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Configure rank trackers for priority queries.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Connect Google Search Console for an owned site when access is available.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Run the initial site audit and copy the opaque project ID.</w:t>
      </w:r>
    </w:p>
    <w:p>
      <w:pPr>
        <w:spacing w:before="100" w:after="180" w:line="288" w:lineRule="auto"/>
        <w:ind w:left="202" w:right="115"/>
        <w:shd w:fill="FFFAEB"/>
        <w:pBdr>
          <w:left w:val="single" w:sz="18" w:space="8" w:color="7A5A00"/>
        </w:pBdr>
      </w:pPr>
      <w:r>
        <w:rPr>
          <w:rFonts w:ascii="Calibri" w:hAnsi="Calibri"/>
          <w:b/>
          <w:color w:val="7A5A00"/>
        </w:rPr>
        <w:t xml:space="preserve">Important: </w:t>
      </w:r>
      <w:r>
        <w:rPr>
          <w:rFonts w:ascii="Calibri" w:hAnsi="Calibri"/>
          <w:color w:val="1F2937"/>
        </w:rPr>
        <w:t>One OpenSEO installation is shared infrastructure; project IDs and data mappings must never be shared across unrelated clients.</w:t>
      </w:r>
    </w:p>
    <w:p>
      <w:pPr>
        <w:pStyle w:val="Heading2"/>
        <w:keepNext/>
      </w:pPr>
      <w:r>
        <w:t>Step 6 - Connect and verify integrations</w:t>
      </w:r>
    </w:p>
    <w:p>
      <w:pPr>
        <w:pStyle w:val="StepOutcome"/>
      </w:pPr>
      <w:r>
        <w:rPr>
          <w:rFonts w:ascii="Calibri" w:hAnsi="Calibri"/>
          <w:b/>
          <w:color w:val="0F766E"/>
        </w:rPr>
        <w:t>Outcome: The workspace can measure the site and execute through approved client systems.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Inside the workspace, open Integrations.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Connect OpenSEO Intelligence using project ID, exact domain, location code, and language code.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Select Verify project and resolve any domain mismatch.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Connect the appropriate CMS or commerce platform: Shopify, WordPress, Ghost, or Webflow.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Limit credential management to workspace or organization owners.</w:t>
      </w:r>
    </w:p>
    <w:p>
      <w:r>
        <w:br w:type="page"/>
      </w:r>
    </w:p>
    <w:p>
      <w:pPr>
        <w:pStyle w:val="Heading2"/>
        <w:keepNext/>
      </w:pPr>
      <w:r>
        <w:t>Step 7 - Build the first evidence-backed priorities</w:t>
      </w:r>
    </w:p>
    <w:p>
      <w:pPr>
        <w:pStyle w:val="StepOutcome"/>
      </w:pPr>
      <w:r>
        <w:rPr>
          <w:rFonts w:ascii="Calibri" w:hAnsi="Calibri"/>
          <w:b/>
          <w:color w:val="0F766E"/>
        </w:rPr>
        <w:t>Outcome: The team has a short queue of actions tied to observed evidence.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Open Today and review capability state, evidence, findings, and Growth Actions.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Check source, observation time, freshness, confidence, estimated impact, and effort.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Add known competitors and priority keywords when they are not already present.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Approve only actions that fit the client’s commercial goal and current capacity.</w:t>
      </w:r>
    </w:p>
    <w:p>
      <w:pPr>
        <w:spacing w:before="100" w:after="180" w:line="288" w:lineRule="auto"/>
        <w:ind w:left="202" w:right="115"/>
        <w:shd w:fill="FFFAEB"/>
        <w:pBdr>
          <w:left w:val="single" w:sz="18" w:space="8" w:color="7A5A00"/>
        </w:pBdr>
      </w:pPr>
      <w:r>
        <w:rPr>
          <w:rFonts w:ascii="Calibri" w:hAnsi="Calibri"/>
          <w:b/>
          <w:color w:val="7A5A00"/>
        </w:rPr>
        <w:t xml:space="preserve">Important: </w:t>
      </w:r>
      <w:r>
        <w:rPr>
          <w:rFonts w:ascii="Calibri" w:hAnsi="Calibri"/>
          <w:color w:val="1F2937"/>
        </w:rPr>
        <w:t>Do not replace unavailable ranking or backlink evidence with AI estimates.</w:t>
      </w:r>
    </w:p>
    <w:p>
      <w:pPr>
        <w:pStyle w:val="Heading2"/>
        <w:keepNext/>
      </w:pPr>
      <w:r>
        <w:t>Step 8 - Deploy one controlled sequence</w:t>
      </w:r>
    </w:p>
    <w:p>
      <w:pPr>
        <w:pStyle w:val="StepOutcome"/>
      </w:pPr>
      <w:r>
        <w:rPr>
          <w:rFonts w:ascii="Calibri" w:hAnsi="Calibri"/>
          <w:b/>
          <w:color w:val="0F766E"/>
        </w:rPr>
        <w:t>Outcome: Agents execute a focused workflow with traceable handoffs.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Open Deploy Sequence and select the approved campaign.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Choose the sequence that matches the highest-priority Growth Action.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Use a precise seed topic, product category, service, location, or authority objective.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Start with one sequence, review quality and evidence, then increase volume gradually.</w:t>
      </w:r>
    </w:p>
    <w:p>
      <w:r>
        <w:br w:type="page"/>
      </w:r>
    </w:p>
    <w:p>
      <w:pPr>
        <w:pStyle w:val="Heading2"/>
        <w:keepNext/>
      </w:pPr>
      <w:r>
        <w:t>Step 9 - Review, approve, and publish</w:t>
      </w:r>
    </w:p>
    <w:p>
      <w:pPr>
        <w:pStyle w:val="StepOutcome"/>
      </w:pPr>
      <w:r>
        <w:rPr>
          <w:rFonts w:ascii="Calibri" w:hAnsi="Calibri"/>
          <w:b/>
          <w:color w:val="0F766E"/>
        </w:rPr>
        <w:t>Outcome: AI-generated deliverables receive human quality control before external action.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Review Content Drafts and Outreach.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Check facts, offer details, tone, links, claims, target relevance, and legal or brand constraints.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Approve only work supported by the brief and evidence.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Publish through the connected CMS after approval and preserve the audit trail.</w:t>
      </w:r>
    </w:p>
    <w:p>
      <w:pPr>
        <w:pStyle w:val="Heading2"/>
        <w:keepNext/>
      </w:pPr>
      <w:r>
        <w:t>Step 10 - Monitor results and report value</w:t>
      </w:r>
    </w:p>
    <w:p>
      <w:pPr>
        <w:pStyle w:val="StepOutcome"/>
      </w:pPr>
      <w:r>
        <w:rPr>
          <w:rFonts w:ascii="Calibri" w:hAnsi="Calibri"/>
          <w:b/>
          <w:color w:val="0F766E"/>
        </w:rPr>
        <w:t>Outcome: The client sees what changed, what it achieved, and what happens next.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Use Jobs, Agent Logs, Event Alerts, and Error Report to supervise execution.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Track rankings, clicks, impressions, backlinks, content outcomes, leads, and revenue where supported.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Create Report Clients only for users who need the simplified client portal.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Summarize completed actions, measured impact, blockers, and the next three priorities.</w:t>
      </w:r>
    </w:p>
    <w:p>
      <w:r>
        <w:br w:type="page"/>
      </w:r>
    </w:p>
    <w:p>
      <w:pPr>
        <w:pStyle w:val="Heading1"/>
        <w:keepNext/>
      </w:pPr>
      <w:r>
        <w:t>Part 3 - Market-specific client playbooks</w:t>
      </w:r>
    </w:p>
    <w:p>
      <w:pPr/>
      <w:r>
        <w:rPr>
          <w:rFonts w:ascii="Calibri" w:hAnsi="Calibri"/>
          <w:color w:val="1F2937"/>
        </w:rPr>
        <w:t>The tenant and evidence model stays consistent, but the workspaces, connections, first priorities, and success metrics must reflect the business.</w:t>
      </w:r>
    </w:p>
    <w:p>
      <w:pPr>
        <w:pStyle w:val="Heading2"/>
        <w:keepNext/>
      </w:pPr>
      <w:r>
        <w:t>Ecommerce / Shopify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0D5DD"/>
          <w:left w:val="single" w:sz="5" w:space="0" w:color="D0D5DD"/>
          <w:bottom w:val="single" w:sz="5" w:space="0" w:color="D0D5DD"/>
          <w:right w:val="single" w:sz="5" w:space="0" w:color="D0D5DD"/>
          <w:insideH w:val="single" w:sz="5" w:space="0" w:color="D0D5DD"/>
          <w:insideV w:val="single" w:sz="5" w:space="0" w:color="D0D5DD"/>
        </w:tblBorders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Workspace boundary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One workspace per storefront, country, or language.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Connect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OpenSEO, Shopify, GSC, GA4, and the publishing CMS.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First priorities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Product and category indexation, collection gaps, low-CTR queries, internal linking, schema, out-of-stock risk, and linkable buying guides.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Primary measures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Organic revenue, non-brand clicks, ranking product/collection pages, assisted conversions, and gross-margin opportunity.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Operating principles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Prioritize categories and products by revenue potential, inventory, and margin, not search volume alone.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Keep generated product claims grounded in the catalog and approved brand language.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Track collection and product-page performance separately from informational content.</w:t>
      </w:r>
    </w:p>
    <w:p>
      <w:pPr>
        <w:pStyle w:val="Heading2"/>
        <w:keepNext/>
      </w:pPr>
      <w:r>
        <w:t>Property / real estate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0D5DD"/>
          <w:left w:val="single" w:sz="5" w:space="0" w:color="D0D5DD"/>
          <w:bottom w:val="single" w:sz="5" w:space="0" w:color="D0D5DD"/>
          <w:right w:val="single" w:sz="5" w:space="0" w:color="D0D5DD"/>
          <w:insideH w:val="single" w:sz="5" w:space="0" w:color="D0D5DD"/>
          <w:insideV w:val="single" w:sz="5" w:space="0" w:color="D0D5DD"/>
        </w:tblBorders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Workspace boundary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One workspace per domain or independently managed city or region.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Connect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OpenSEO, GSC, GA4, CRM/form tracking, listing feed, and CMS.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First priorities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Neighborhood hubs, stale or duplicate listings, development pages, market reports, schema, local authority links, and lead-intent gaps.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Primary measures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Qualified enquiries, calls, viewing requests, indexed listings, location rankings, and cost per organic lead.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Operating principles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Separate permanent neighborhood authority pages from short-lived property listing pages.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Do not publish invented market statistics; use traceable first-party or cited data.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Create internal links from market guides to relevant developments, listings, and conversion pages.</w:t>
      </w:r>
    </w:p>
    <w:p>
      <w:pPr>
        <w:pStyle w:val="Heading2"/>
        <w:keepNext/>
      </w:pPr>
      <w:r>
        <w:t>Local restaurant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0D5DD"/>
          <w:left w:val="single" w:sz="5" w:space="0" w:color="D0D5DD"/>
          <w:bottom w:val="single" w:sz="5" w:space="0" w:color="D0D5DD"/>
          <w:right w:val="single" w:sz="5" w:space="0" w:color="D0D5DD"/>
          <w:insideH w:val="single" w:sz="5" w:space="0" w:color="D0D5DD"/>
          <w:insideV w:val="single" w:sz="5" w:space="0" w:color="D0D5DD"/>
        </w:tblBorders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Workspace boundary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One workspace per location when listings, reviews, hours, menus, or offers differ.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Connect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OpenSEO, GSC, GA4, Google Business Profile workflow, menu/CMS, booking, and call tracking.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First priorities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Name/address/phone/hours consistency, menu and local schema, review themes, location pages, citations, events, and neighborhood partnerships.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Primary measures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Calls, directions, bookings, local pack visibility, branded discovery, and high-intent menu or location visits.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Operating principles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Keep opening hours, menu items, prices, and booking links current across all surfaces.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Use a simple three-action Today queue for small operators instead of overwhelming them with enterprise metrics.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Treat reviews as customer insight and response opportunities, not as content to fabricate or manipulate.</w:t>
      </w:r>
    </w:p>
    <w:p>
      <w:pPr>
        <w:pStyle w:val="Heading2"/>
        <w:keepNext/>
      </w:pPr>
      <w:r>
        <w:t>Agency / multi-client team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0D5DD"/>
          <w:left w:val="single" w:sz="5" w:space="0" w:color="D0D5DD"/>
          <w:bottom w:val="single" w:sz="5" w:space="0" w:color="D0D5DD"/>
          <w:right w:val="single" w:sz="5" w:space="0" w:color="D0D5DD"/>
          <w:insideH w:val="single" w:sz="5" w:space="0" w:color="D0D5DD"/>
          <w:insideV w:val="single" w:sz="5" w:space="0" w:color="D0D5DD"/>
        </w:tblBorders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Workspace boundary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One organization per client; one workspace per site, brand, or market.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Connect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A client-specific OpenSEO project and connector set. Never share project IDs or credentials across tenants.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First priorities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Standardized discovery, capability checks, playbooks, evidence review, approval SLAs, and portfolio risk monitoring.</w:t>
            </w:r>
          </w:p>
        </w:tc>
      </w:tr>
      <w:tr>
        <w:trPr>
          <w:cantSplit/>
        </w:trPr>
        <w:tc>
          <w:tcPr>
            <w:tcW w:type="dxa" w:w="2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9"/>
              </w:rPr>
              <w:t>Primary measures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9"/>
              </w:rPr>
              <w:t>Time to first value, actions completed, client outcomes, approval delay, workload, gross margin, and retention risk.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Operating principles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Apply a standard onboarding checklist while keeping business goals and evidence client-specific.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Require named owners for approvals, publishing, and access changes.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Use the client portal for outcome communication, not raw operational logs.</w:t>
      </w:r>
    </w:p>
    <w:p>
      <w:pPr>
        <w:pStyle w:val="Heading1"/>
        <w:keepNext/>
      </w:pPr>
      <w:r>
        <w:t>Part 4 - Navigation, weekly cadence, and reporting</w:t>
      </w:r>
    </w:p>
    <w:p>
      <w:pPr>
        <w:pStyle w:val="Heading2"/>
        <w:keepNext/>
      </w:pPr>
      <w:r>
        <w:t>4.1 What each area of the app does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0D5DD"/>
          <w:left w:val="single" w:sz="5" w:space="0" w:color="D0D5DD"/>
          <w:bottom w:val="single" w:sz="5" w:space="0" w:color="D0D5DD"/>
          <w:right w:val="single" w:sz="5" w:space="0" w:color="D0D5DD"/>
          <w:insideH w:val="single" w:sz="5" w:space="0" w:color="D0D5DD"/>
          <w:insideV w:val="single" w:sz="5" w:space="0" w:color="D0D5DD"/>
        </w:tblBorders>
      </w:tblPr>
      <w:tblGrid>
        <w:gridCol w:w="1800"/>
        <w:gridCol w:w="3780"/>
        <w:gridCol w:w="3780"/>
      </w:tblGrid>
      <w:tr>
        <w:trPr>
          <w:tblHeader w:val="true"/>
          <w:cantSplit/>
        </w:trPr>
        <w:tc>
          <w:tcPr>
            <w:tcW w:type="dxa" w:w="18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7"/>
              </w:rPr>
              <w:t>Area</w:t>
            </w:r>
          </w:p>
        </w:tc>
        <w:tc>
          <w:tcPr>
            <w:tcW w:type="dxa" w:w="378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7"/>
              </w:rPr>
              <w:t>Use it for</w:t>
            </w:r>
          </w:p>
        </w:tc>
        <w:tc>
          <w:tcPr>
            <w:tcW w:type="dxa" w:w="378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7"/>
              </w:rPr>
              <w:t>Do not use it for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Today</w:t>
            </w:r>
          </w:p>
        </w:tc>
        <w:tc>
          <w:tcPr>
            <w:tcW w:type="dxa" w:w="3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Capability health, evidence, findings, and prioritized Growth Actions.</w:t>
            </w:r>
          </w:p>
        </w:tc>
        <w:tc>
          <w:tcPr>
            <w:tcW w:type="dxa" w:w="3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Raw activity volume without business prioritization.</w:t>
            </w:r>
          </w:p>
        </w:tc>
      </w:tr>
      <w:tr>
        <w:trPr>
          <w:cantSplit/>
        </w:trPr>
        <w:tc>
          <w:tcPr>
            <w:tcW w:type="dxa" w:w="18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AI Assistant</w:t>
            </w:r>
          </w:p>
        </w:tc>
        <w:tc>
          <w:tcPr>
            <w:tcW w:type="dxa" w:w="378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Discovery, campaign planning, refinement, and launch.</w:t>
            </w:r>
          </w:p>
        </w:tc>
        <w:tc>
          <w:tcPr>
            <w:tcW w:type="dxa" w:w="378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Inventing measurements or replacing missing integrations.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Brands</w:t>
            </w:r>
          </w:p>
        </w:tc>
        <w:tc>
          <w:tcPr>
            <w:tcW w:type="dxa" w:w="3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Campaign scope and business objective.</w:t>
            </w:r>
          </w:p>
        </w:tc>
        <w:tc>
          <w:tcPr>
            <w:tcW w:type="dxa" w:w="3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Combining unrelated markets or sites.</w:t>
            </w:r>
          </w:p>
        </w:tc>
      </w:tr>
      <w:tr>
        <w:trPr>
          <w:cantSplit/>
        </w:trPr>
        <w:tc>
          <w:tcPr>
            <w:tcW w:type="dxa" w:w="18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Keywords / Competitors</w:t>
            </w:r>
          </w:p>
        </w:tc>
        <w:tc>
          <w:tcPr>
            <w:tcW w:type="dxa" w:w="378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The tracked opportunity set and verified comparison set.</w:t>
            </w:r>
          </w:p>
        </w:tc>
        <w:tc>
          <w:tcPr>
            <w:tcW w:type="dxa" w:w="378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Unbounded keyword collection.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Deploy Sequence</w:t>
            </w:r>
          </w:p>
        </w:tc>
        <w:tc>
          <w:tcPr>
            <w:tcW w:type="dxa" w:w="3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Starting a focused, approved multi-agent workflow.</w:t>
            </w:r>
          </w:p>
        </w:tc>
        <w:tc>
          <w:tcPr>
            <w:tcW w:type="dxa" w:w="3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Launching high-volume automation before quality review.</w:t>
            </w:r>
          </w:p>
        </w:tc>
      </w:tr>
      <w:tr>
        <w:trPr>
          <w:cantSplit/>
        </w:trPr>
        <w:tc>
          <w:tcPr>
            <w:tcW w:type="dxa" w:w="18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Content / Outreach</w:t>
            </w:r>
          </w:p>
        </w:tc>
        <w:tc>
          <w:tcPr>
            <w:tcW w:type="dxa" w:w="378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Human review and approval of generated deliverables.</w:t>
            </w:r>
          </w:p>
        </w:tc>
        <w:tc>
          <w:tcPr>
            <w:tcW w:type="dxa" w:w="378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Silent publishing or unsupervised external messaging.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Analytics / Backlinks</w:t>
            </w:r>
          </w:p>
        </w:tc>
        <w:tc>
          <w:tcPr>
            <w:tcW w:type="dxa" w:w="3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Performance and authority evidence.</w:t>
            </w:r>
          </w:p>
        </w:tc>
        <w:tc>
          <w:tcPr>
            <w:tcW w:type="dxa" w:w="3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Treating third-party estimates as first-party outcomes.</w:t>
            </w:r>
          </w:p>
        </w:tc>
      </w:tr>
      <w:tr>
        <w:trPr>
          <w:cantSplit/>
        </w:trPr>
        <w:tc>
          <w:tcPr>
            <w:tcW w:type="dxa" w:w="18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Jobs / Logs / Errors</w:t>
            </w:r>
          </w:p>
        </w:tc>
        <w:tc>
          <w:tcPr>
            <w:tcW w:type="dxa" w:w="378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Execution monitoring, handoffs, failures, and debugging.</w:t>
            </w:r>
          </w:p>
        </w:tc>
        <w:tc>
          <w:tcPr>
            <w:tcW w:type="dxa" w:w="378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Client-facing reporting.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Integrations / App Health</w:t>
            </w:r>
          </w:p>
        </w:tc>
        <w:tc>
          <w:tcPr>
            <w:tcW w:type="dxa" w:w="3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Connection setup, verification, and readiness.</w:t>
            </w:r>
          </w:p>
        </w:tc>
        <w:tc>
          <w:tcPr>
            <w:tcW w:type="dxa" w:w="3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Storing secrets in notes or client-visible fields.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4.2 Weekly account cadence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0D5DD"/>
          <w:left w:val="single" w:sz="5" w:space="0" w:color="D0D5DD"/>
          <w:bottom w:val="single" w:sz="5" w:space="0" w:color="D0D5DD"/>
          <w:right w:val="single" w:sz="5" w:space="0" w:color="D0D5DD"/>
          <w:insideH w:val="single" w:sz="5" w:space="0" w:color="D0D5DD"/>
          <w:insideV w:val="single" w:sz="5" w:space="0" w:color="D0D5DD"/>
        </w:tblBorders>
      </w:tblPr>
      <w:tblGrid>
        <w:gridCol w:w="1200"/>
        <w:gridCol w:w="2460"/>
        <w:gridCol w:w="5700"/>
      </w:tblGrid>
      <w:tr>
        <w:trPr>
          <w:tblHeader w:val="true"/>
          <w:cantSplit/>
        </w:trPr>
        <w:tc>
          <w:tcPr>
            <w:tcW w:type="dxa" w:w="12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7"/>
              </w:rPr>
              <w:t>Day</w:t>
            </w:r>
          </w:p>
        </w:tc>
        <w:tc>
          <w:tcPr>
            <w:tcW w:type="dxa" w:w="246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7"/>
              </w:rPr>
              <w:t>Focus</w:t>
            </w:r>
          </w:p>
        </w:tc>
        <w:tc>
          <w:tcPr>
            <w:tcW w:type="dxa" w:w="57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7"/>
              </w:rPr>
              <w:t>Required output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Monday</w:t>
            </w:r>
          </w:p>
        </w:tc>
        <w:tc>
          <w:tcPr>
            <w:tcW w:type="dxa" w:w="2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Evidence and priorities</w:t>
            </w:r>
          </w:p>
        </w:tc>
        <w:tc>
          <w:tcPr>
            <w:tcW w:type="dxa" w:w="5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Review Today, capability warnings, new search/backlink evidence, and overdue Growth Actions.</w:t>
            </w:r>
          </w:p>
        </w:tc>
      </w:tr>
      <w:tr>
        <w:trPr>
          <w:cantSplit/>
        </w:trPr>
        <w:tc>
          <w:tcPr>
            <w:tcW w:type="dxa" w:w="12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Tuesday</w:t>
            </w:r>
          </w:p>
        </w:tc>
        <w:tc>
          <w:tcPr>
            <w:tcW w:type="dxa" w:w="246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Production</w:t>
            </w:r>
          </w:p>
        </w:tc>
        <w:tc>
          <w:tcPr>
            <w:tcW w:type="dxa" w:w="57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Approve briefs and deploy the smallest sequences required for the top opportunities.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Wednesday</w:t>
            </w:r>
          </w:p>
        </w:tc>
        <w:tc>
          <w:tcPr>
            <w:tcW w:type="dxa" w:w="2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Quality and publication</w:t>
            </w:r>
          </w:p>
        </w:tc>
        <w:tc>
          <w:tcPr>
            <w:tcW w:type="dxa" w:w="5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Review drafts and outreach; verify facts, links, and brand fit; publish approved work.</w:t>
            </w:r>
          </w:p>
        </w:tc>
      </w:tr>
      <w:tr>
        <w:trPr>
          <w:cantSplit/>
        </w:trPr>
        <w:tc>
          <w:tcPr>
            <w:tcW w:type="dxa" w:w="12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Thursday</w:t>
            </w:r>
          </w:p>
        </w:tc>
        <w:tc>
          <w:tcPr>
            <w:tcW w:type="dxa" w:w="246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Authority and distribution</w:t>
            </w:r>
          </w:p>
        </w:tc>
        <w:tc>
          <w:tcPr>
            <w:tcW w:type="dxa" w:w="57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Run backlink reclamation, partner outreach, internal linking, and distribution.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Friday</w:t>
            </w:r>
          </w:p>
        </w:tc>
        <w:tc>
          <w:tcPr>
            <w:tcW w:type="dxa" w:w="2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Measurement and update</w:t>
            </w:r>
          </w:p>
        </w:tc>
        <w:tc>
          <w:tcPr>
            <w:tcW w:type="dxa" w:w="5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7"/>
              </w:rPr>
              <w:t>Record outcomes, explain movement and blockers, and agree on next week’s three priorities.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4.3 Client reporting standard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Lead with business outcomes and completed actions, not agent activity counts.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Separate first-party outcomes from third-party estimates.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State the source and observation period for rankings, traffic, and backlinks.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Explain material changes, blockers, and decisions in plain language.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End every report with the next three prioritized actions, named owner, and expected decision date.</w:t>
      </w:r>
    </w:p>
    <w:p>
      <w:pPr>
        <w:spacing w:before="100" w:after="180" w:line="288" w:lineRule="auto"/>
        <w:ind w:left="202" w:right="115"/>
        <w:shd w:fill="ECFDF5"/>
        <w:pBdr>
          <w:left w:val="single" w:sz="18" w:space="8" w:color="0F766E"/>
        </w:pBdr>
      </w:pPr>
      <w:r>
        <w:rPr>
          <w:rFonts w:ascii="Calibri" w:hAnsi="Calibri"/>
          <w:b/>
          <w:color w:val="0F766E"/>
        </w:rPr>
        <w:t xml:space="preserve">Good report: </w:t>
      </w:r>
      <w:r>
        <w:rPr>
          <w:rFonts w:ascii="Calibri" w:hAnsi="Calibri"/>
          <w:color w:val="1F2937"/>
        </w:rPr>
        <w:t>We recovered two lost referring domains, improved the category page from position 14 to 8 in the US mobile market, and increased non-brand GSC clicks by 18% over the previous 28 days. Next: publish the approved comparison page, repair three broken internal links, and pursue five verified partner prospects.</w:t>
      </w:r>
    </w:p>
    <w:p>
      <w:r>
        <w:br w:type="page"/>
      </w:r>
    </w:p>
    <w:p>
      <w:pPr>
        <w:pStyle w:val="Heading1"/>
        <w:keepNext/>
      </w:pPr>
      <w:r>
        <w:t>Part 5 - Troubleshooting and go-live checklists</w:t>
      </w:r>
    </w:p>
    <w:p>
      <w:pPr>
        <w:pStyle w:val="Heading2"/>
        <w:keepNext/>
      </w:pPr>
      <w:r>
        <w:t>5.1 Common problems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0D5DD"/>
          <w:left w:val="single" w:sz="5" w:space="0" w:color="D0D5DD"/>
          <w:bottom w:val="single" w:sz="5" w:space="0" w:color="D0D5DD"/>
          <w:right w:val="single" w:sz="5" w:space="0" w:color="D0D5DD"/>
          <w:insideH w:val="single" w:sz="5" w:space="0" w:color="D0D5DD"/>
          <w:insideV w:val="single" w:sz="5" w:space="0" w:color="D0D5DD"/>
        </w:tblBorders>
      </w:tblPr>
      <w:tblGrid>
        <w:gridCol w:w="2100"/>
        <w:gridCol w:w="3000"/>
        <w:gridCol w:w="4260"/>
      </w:tblGrid>
      <w:tr>
        <w:trPr>
          <w:tblHeader w:val="true"/>
          <w:cantSplit/>
        </w:trPr>
        <w:tc>
          <w:tcPr>
            <w:tcW w:type="dxa" w:w="21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6"/>
              </w:rPr>
              <w:t>Problem</w:t>
            </w:r>
          </w:p>
        </w:tc>
        <w:tc>
          <w:tcPr>
            <w:tcW w:type="dxa" w:w="30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6"/>
              </w:rPr>
              <w:t>Check first</w:t>
            </w:r>
          </w:p>
        </w:tc>
        <w:tc>
          <w:tcPr>
            <w:tcW w:type="dxa" w:w="426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6"/>
              </w:rPr>
              <w:t>Resolution path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Backend will not start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Railway logs and required variables.</w:t>
            </w:r>
          </w:p>
        </w:tc>
        <w:tc>
          <w:tcPr>
            <w:tcW w:type="dxa" w:w="4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Set DATABASE_URL, CRON_SECRET, and CLERK_JWT_ISSUER; redeploy.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Frontend cannot reach API</w:t>
            </w:r>
          </w:p>
        </w:tc>
        <w:tc>
          <w:tcPr>
            <w:tcW w:type="dxa" w:w="30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Vercel API_URL and Railway public URL.</w:t>
            </w:r>
          </w:p>
        </w:tc>
        <w:tc>
          <w:tcPr>
            <w:tcW w:type="dxa" w:w="426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Correct API_URL, confirm backend health, and redeploy the frontend.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OpenSEO verification fails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Private URL, /mcp suffix, project ID, and exact domain.</w:t>
            </w:r>
          </w:p>
        </w:tc>
        <w:tc>
          <w:tcPr>
            <w:tcW w:type="dxa" w:w="4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Fix private networking or mapping; never expose local_noauth publicly.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No ranking/backlink evidence</w:t>
            </w:r>
          </w:p>
        </w:tc>
        <w:tc>
          <w:tcPr>
            <w:tcW w:type="dxa" w:w="30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DataForSEO credential, budget guardrail, and OpenSEO logs.</w:t>
            </w:r>
          </w:p>
        </w:tc>
        <w:tc>
          <w:tcPr>
            <w:tcW w:type="dxa" w:w="426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Correct the credential, budget, or provider error; do not substitute AI estimates.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AI output is weak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Discovery brief and task scope.</w:t>
            </w:r>
          </w:p>
        </w:tc>
        <w:tc>
          <w:tcPr>
            <w:tcW w:type="dxa" w:w="4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Add audience, offer, market, source evidence, constraints, and acceptance criteria.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Jobs stay queued</w:t>
            </w:r>
          </w:p>
        </w:tc>
        <w:tc>
          <w:tcPr>
            <w:tcW w:type="dxa" w:w="30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Redis, worker service, and cron.</w:t>
            </w:r>
          </w:p>
        </w:tc>
        <w:tc>
          <w:tcPr>
            <w:tcW w:type="dxa" w:w="426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Restore Redis/worker connectivity and verify the arq start command.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Invites fail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Clerk, email provider, FRONTEND_URL, sender domain, and seat limit.</w:t>
            </w:r>
          </w:p>
        </w:tc>
        <w:tc>
          <w:tcPr>
            <w:tcW w:type="dxa" w:w="4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Correct delivery/auth settings, resend, and check expiry or spam filtering.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5.2 Client go-live checklist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Organization created for only this client.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Workspace scope matches one site, brand, location, or market.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AI discovery completed and campaign plan approved.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Dedicated OpenSEO project created for the domain and market.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OpenSEO integration verified in the workspace.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GSC, analytics, CMS, commerce, or CRM connections added where applicable.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Capability health reviewed with no unexplained degraded state.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Competitors and priority keywords validated.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First Growth Actions reviewed and assigned.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One controlled sequence completed successfully.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Generated content or outreach passed human approval.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Client access and reporting expectations confirmed.</w:t>
      </w:r>
    </w:p>
    <w:p>
      <w:pPr>
        <w:pStyle w:val="Heading2"/>
        <w:keepNext/>
      </w:pPr>
      <w:r>
        <w:t>5.3 Scale-readiness checklist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Redis-backed worker execution is enabled.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Rate limits and provider budgets match the subscription plan.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Integration secrets are encrypted and restricted to owners.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Sentry or equivalent production error tracking is enabled.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Cron and invite hygiene jobs are monitored.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Client reports separate first-party data, third-party estimates, and AI interpretation.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Every external publish or outreach workflow has an approval owner.</w:t>
      </w:r>
    </w:p>
    <w:p>
      <w:pPr>
        <w:numPr>
          <w:ilvl w:val="0"/>
          <w:numId w:val="10"/>
        </w:numPr>
      </w:pPr>
      <w:r>
        <w:rPr>
          <w:rFonts w:ascii="Calibri" w:hAnsi="Calibri"/>
          <w:color w:val="1F2937"/>
        </w:rPr>
        <w:t>Backups, restore testing, and incident ownership are documented.</w:t>
      </w:r>
    </w:p>
    <w:p>
      <w:r>
        <w:br w:type="page"/>
      </w:r>
    </w:p>
    <w:p>
      <w:pPr>
        <w:pStyle w:val="Heading1"/>
        <w:keepNext/>
      </w:pPr>
      <w:r>
        <w:t>Appendix - Environment variable quick reference</w:t>
      </w:r>
    </w:p>
    <w:p>
      <w:pPr/>
      <w:r>
        <w:rPr>
          <w:rFonts w:ascii="Calibri" w:hAnsi="Calibri"/>
          <w:color w:val="1F2937"/>
        </w:rPr>
        <w:t>This appendix summarizes the values most operators need. ENV.example remains the complete reference with defaults and optional tuning values.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0D5DD"/>
          <w:left w:val="single" w:sz="5" w:space="0" w:color="D0D5DD"/>
          <w:bottom w:val="single" w:sz="5" w:space="0" w:color="D0D5DD"/>
          <w:right w:val="single" w:sz="5" w:space="0" w:color="D0D5DD"/>
          <w:insideH w:val="single" w:sz="5" w:space="0" w:color="D0D5DD"/>
          <w:insideV w:val="single" w:sz="5" w:space="0" w:color="D0D5DD"/>
        </w:tblBorders>
      </w:tblPr>
      <w:tblGrid>
        <w:gridCol w:w="1600"/>
        <w:gridCol w:w="2300"/>
        <w:gridCol w:w="5460"/>
      </w:tblGrid>
      <w:tr>
        <w:trPr>
          <w:tblHeader w:val="true"/>
          <w:cantSplit/>
        </w:trPr>
        <w:tc>
          <w:tcPr>
            <w:tcW w:type="dxa" w:w="16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6"/>
              </w:rPr>
              <w:t>Service</w:t>
            </w:r>
          </w:p>
        </w:tc>
        <w:tc>
          <w:tcPr>
            <w:tcW w:type="dxa" w:w="23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6"/>
              </w:rPr>
              <w:t>Variable group</w:t>
            </w:r>
          </w:p>
        </w:tc>
        <w:tc>
          <w:tcPr>
            <w:tcW w:type="dxa" w:w="546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0B2545"/>
                <w:sz w:val="16"/>
              </w:rPr>
              <w:t>Examples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Vercel frontend</w:t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Authentication</w:t>
            </w:r>
          </w:p>
        </w:tc>
        <w:tc>
          <w:tcPr>
            <w:tcW w:type="dxa" w:w="5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NEXT_PUBLIC_CLERK_PUBLISHABLE_KEY, CLERK_SECRET_KEY</w:t>
            </w:r>
          </w:p>
        </w:tc>
      </w:tr>
      <w:tr>
        <w:trPr>
          <w:cantSplit/>
        </w:trPr>
        <w:tc>
          <w:tcPr>
            <w:tcW w:type="dxa" w:w="16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Vercel frontend</w:t>
            </w:r>
          </w:p>
        </w:tc>
        <w:tc>
          <w:tcPr>
            <w:tcW w:type="dxa" w:w="23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URLs and proxy</w:t>
            </w:r>
          </w:p>
        </w:tc>
        <w:tc>
          <w:tcPr>
            <w:tcW w:type="dxa" w:w="546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NEXT_PUBLIC_APP_URL, NEXT_PUBLIC_SITE_URL, API_URL, OUTBOX_GATEWAY_SECRET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Railway backend</w:t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Core</w:t>
            </w:r>
          </w:p>
        </w:tc>
        <w:tc>
          <w:tcPr>
            <w:tcW w:type="dxa" w:w="5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ENVIRONMENT, DATABASE_URL, CRON_SECRET, REDIS_URL</w:t>
            </w:r>
          </w:p>
        </w:tc>
      </w:tr>
      <w:tr>
        <w:trPr>
          <w:cantSplit/>
        </w:trPr>
        <w:tc>
          <w:tcPr>
            <w:tcW w:type="dxa" w:w="16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Railway backend</w:t>
            </w:r>
          </w:p>
        </w:tc>
        <w:tc>
          <w:tcPr>
            <w:tcW w:type="dxa" w:w="23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Authentication</w:t>
            </w:r>
          </w:p>
        </w:tc>
        <w:tc>
          <w:tcPr>
            <w:tcW w:type="dxa" w:w="546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CLERK_JWT_ISSUER, CLERK_SECRET_KEY, SUPER_ADMIN_EMAILS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Railway backend</w:t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Security</w:t>
            </w:r>
          </w:p>
        </w:tc>
        <w:tc>
          <w:tcPr>
            <w:tcW w:type="dxa" w:w="5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INTEGRATION_ENCRYPTION_KEY, LEGACY_SESSION_SECRET, OUTBOX_GATEWAY_SECRET, ALLOWED_ORIGINS</w:t>
            </w:r>
          </w:p>
        </w:tc>
      </w:tr>
      <w:tr>
        <w:trPr>
          <w:cantSplit/>
        </w:trPr>
        <w:tc>
          <w:tcPr>
            <w:tcW w:type="dxa" w:w="16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Railway backend</w:t>
            </w:r>
          </w:p>
        </w:tc>
        <w:tc>
          <w:tcPr>
            <w:tcW w:type="dxa" w:w="23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AI</w:t>
            </w:r>
          </w:p>
        </w:tc>
        <w:tc>
          <w:tcPr>
            <w:tcW w:type="dxa" w:w="546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AI_PRIMARY_PROVIDER plus DEEPSEEK_API_KEY, OPENAI_API_KEY, GEMINI_API_KEY, or GROQ_API_KEY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Railway backend</w:t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Email</w:t>
            </w:r>
          </w:p>
        </w:tc>
        <w:tc>
          <w:tcPr>
            <w:tcW w:type="dxa" w:w="5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BREVO_API_KEY or RESEND_API_KEY, EMAIL_FROM_NAME, EMAIL_FROM_ADDRESS, ADMIN_NOTIFICATION_EMAIL</w:t>
            </w:r>
          </w:p>
        </w:tc>
      </w:tr>
      <w:tr>
        <w:trPr>
          <w:cantSplit/>
        </w:trPr>
        <w:tc>
          <w:tcPr>
            <w:tcW w:type="dxa" w:w="16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Railway backend</w:t>
            </w:r>
          </w:p>
        </w:tc>
        <w:tc>
          <w:tcPr>
            <w:tcW w:type="dxa" w:w="23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OpenSEO gateway</w:t>
            </w:r>
          </w:p>
        </w:tc>
        <w:tc>
          <w:tcPr>
            <w:tcW w:type="dxa" w:w="546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OPENSEO_ENABLED, OPENSEO_MCP_URL, OPENSEO_AUTH_MODE, budget guardrails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Railway worker</w:t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Execution</w:t>
            </w:r>
          </w:p>
        </w:tc>
        <w:tc>
          <w:tcPr>
            <w:tcW w:type="dxa" w:w="5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Copy backend database, Redis, AI, email, encryption, OpenSEO, URL, and environment values</w:t>
            </w:r>
          </w:p>
        </w:tc>
      </w:tr>
      <w:tr>
        <w:trPr>
          <w:cantSplit/>
        </w:trPr>
        <w:tc>
          <w:tcPr>
            <w:tcW w:type="dxa" w:w="16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OpenSEO service</w:t>
            </w:r>
          </w:p>
        </w:tc>
        <w:tc>
          <w:tcPr>
            <w:tcW w:type="dxa" w:w="23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Provider</w:t>
            </w:r>
          </w:p>
        </w:tc>
        <w:tc>
          <w:tcPr>
            <w:tcW w:type="dxa" w:w="546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AUTH_MODE, DATAFORSEO_API_KEY, OPENSEO_TELEMETRY_DISABLED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OpenSEO service</w:t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GSC</w:t>
            </w:r>
          </w:p>
        </w:tc>
        <w:tc>
          <w:tcPr>
            <w:tcW w:type="dxa" w:w="5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BETTER_AUTH_SECRET, GOOGLE_CLIENT_ID, GOOGLE_CLIENT_SECRET</w:t>
            </w:r>
          </w:p>
        </w:tc>
      </w:tr>
      <w:tr>
        <w:trPr>
          <w:cantSplit/>
        </w:trPr>
        <w:tc>
          <w:tcPr>
            <w:tcW w:type="dxa" w:w="16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Operations</w:t>
            </w:r>
          </w:p>
        </w:tc>
        <w:tc>
          <w:tcPr>
            <w:tcW w:type="dxa" w:w="23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Observability</w:t>
            </w:r>
          </w:p>
        </w:tc>
        <w:tc>
          <w:tcPr>
            <w:tcW w:type="dxa" w:w="546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color w:val="1F2937"/>
                <w:sz w:val="16"/>
              </w:rPr>
              <w:t>LOG_LEVEL, LOG_FORMAT, SENTRY_DSN, OPS_* thresholds</w:t>
            </w:r>
          </w:p>
        </w:tc>
      </w:tr>
    </w:tbl>
    <w:p>
      <w:pPr>
        <w:spacing w:after="0"/>
      </w:pPr>
    </w:p>
    <w:p>
      <w:pPr>
        <w:spacing w:before="100" w:after="180" w:line="288" w:lineRule="auto"/>
        <w:ind w:left="202" w:right="115"/>
        <w:shd w:fill="FFFAEB"/>
        <w:pBdr>
          <w:left w:val="single" w:sz="18" w:space="8" w:color="7A5A00"/>
        </w:pBdr>
      </w:pPr>
      <w:r>
        <w:rPr>
          <w:rFonts w:ascii="Calibri" w:hAnsi="Calibri"/>
          <w:b/>
          <w:color w:val="7A5A00"/>
        </w:rPr>
        <w:t xml:space="preserve">Final security check: </w:t>
      </w:r>
      <w:r>
        <w:rPr>
          <w:rFonts w:ascii="Calibri" w:hAnsi="Calibri"/>
          <w:color w:val="1F2937"/>
        </w:rPr>
        <w:t>Never paste production secrets into source control, support tickets, client reports, or the OpenSEO project configuration fields. Use Vercel and Railway secret managers.</w:t>
      </w:r>
    </w:p>
    <w:p>
      <w:pPr>
        <w:pStyle w:val="Heading2"/>
        <w:keepNext/>
      </w:pPr>
      <w:r>
        <w:t>First implementation session</w:t>
      </w:r>
    </w:p>
    <w:p>
      <w:pPr/>
      <w:r>
        <w:rPr>
          <w:rFonts w:ascii="Calibri" w:hAnsi="Calibri"/>
          <w:color w:val="1F2937"/>
        </w:rPr>
        <w:t>For the first client, keep the scope intentionally small: one organization, one workspace, one OpenSEO project, one verified campaign objective, three Growth Actions, and one controlled sequence. Prove the operating loop before increasing automation volume.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Calibri" w:hAnsi="Calibri"/>
        <w:color w:val="667085"/>
        <w:sz w:val="18"/>
      </w:rPr>
      <w:t xml:space="preserve">Page </w:t>
    </w:r>
    <w:r>
      <w:rPr>
        <w:rFonts w:ascii="Calibri" w:hAnsi="Calibri"/>
        <w:color w:val="667085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color w:val="667085"/>
        <w:sz w:val="17"/>
      </w:rPr>
      <w:t>ORGANIC SIGNAL  |  IMPLEMENTATION HANDBOOK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  <w:spacing w:after="80" w:line="300" w:lineRule="auto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epOutcome">
    <w:name w:val="Step Outcome"/>
    <w:pPr>
      <w:keepNext/>
      <w:spacing w:after="140"/>
    </w:pPr>
    <w:rPr>
      <w:rFonts w:ascii="Calibri" w:hAnsi="Calibri"/>
      <w:b/>
      <w:color w:val="0F766E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Organic Signal Step-by-Step User Guide</dc:title>
  <dc:subject>Deployment, client onboarding, OpenSEO integration, operations, and reporting</dc:subject>
  <dc:creator>Organic Signal</dc:creator>
  <cp:keywords>Organic Signal, OpenSEO, SEO, onboarding, user guide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